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olor w:val="auto"/>
          <w:sz w:val="28"/>
          <w:szCs w:val="28"/>
          <w:lang w:val="zxx" w:eastAsia="zxx" w:bidi="zxx"/>
        </w:rPr>
      </w:pPr>
      <w:r>
        <w:rPr>
          <w:rFonts w:ascii="Times New Roman" w:hAnsi="Times New Roman"/>
          <w:b/>
          <w:color w:val="auto"/>
          <w:sz w:val="28"/>
          <w:szCs w:val="28"/>
          <w:lang w:val="zxx" w:eastAsia="zxx" w:bidi="zxx"/>
        </w:rPr>
        <w:t xml:space="preserve">Ordinul nr. 1707/3436/2020 – </w:t>
      </w:r>
      <w:r>
        <w:rPr>
          <w:rFonts w:ascii="Times New Roman" w:hAnsi="Times New Roman"/>
          <w:b/>
          <w:color w:val="auto"/>
          <w:sz w:val="28"/>
          <w:szCs w:val="28"/>
          <w:lang w:val="zxx" w:eastAsia="zxx" w:bidi="zxx"/>
        </w:rPr>
        <w:t>anexe</w:t>
      </w:r>
    </w:p>
    <w:p>
      <w:pPr>
        <w:pStyle w:val="Normal"/>
        <w:rPr>
          <w:b/>
          <w:b/>
        </w:rPr>
      </w:pPr>
      <w:r>
        <w:rPr>
          <w:rFonts w:ascii="Times New Roman" w:hAnsi="Times New Roman"/>
          <w:color w:val="auto"/>
          <w:sz w:val="28"/>
          <w:szCs w:val="28"/>
          <w:lang w:val="zxx" w:eastAsia="zxx" w:bidi="zxx"/>
        </w:rPr>
      </w:r>
    </w:p>
    <w:p>
      <w:pPr>
        <w:pStyle w:val="Normal"/>
        <w:rPr>
          <w:b/>
          <w:b/>
        </w:rPr>
      </w:pPr>
      <w:r>
        <w:rPr>
          <w:rFonts w:ascii="Times New Roman" w:hAnsi="Times New Roman"/>
          <w:color w:val="auto"/>
          <w:sz w:val="28"/>
          <w:szCs w:val="28"/>
          <w:lang w:val="zxx" w:eastAsia="zxx" w:bidi="zxx"/>
        </w:rPr>
      </w:r>
    </w:p>
    <w:p>
      <w:pPr>
        <w:pStyle w:val="Normal"/>
        <w:rPr>
          <w:b/>
          <w:b/>
        </w:rPr>
      </w:pPr>
      <w:r>
        <w:rPr>
          <w:rFonts w:ascii="Times New Roman" w:hAnsi="Times New Roman"/>
          <w:color w:val="auto"/>
          <w:sz w:val="28"/>
          <w:szCs w:val="28"/>
          <w:lang w:val="zxx" w:eastAsia="zxx" w:bidi="zxx"/>
        </w:rPr>
      </w:r>
    </w:p>
    <w:p>
      <w:pPr>
        <w:pStyle w:val="Heading4"/>
        <w:jc w:val="right"/>
        <w:rPr>
          <w:rFonts w:ascii="Times New Roman" w:hAnsi="Times New Roman"/>
          <w:b w:val="false"/>
          <w:i w:val="false"/>
          <w:caps w:val="false"/>
          <w:smallCaps w:val="false"/>
          <w:color w:val="C9211E"/>
          <w:spacing w:val="0"/>
          <w:sz w:val="28"/>
          <w:szCs w:val="28"/>
          <w:lang w:val="zxx" w:eastAsia="zxx" w:bidi="zxx"/>
        </w:rPr>
      </w:pPr>
      <w:r>
        <w:rPr>
          <w:rFonts w:ascii="Times New Roman" w:hAnsi="Times New Roman"/>
          <w:b/>
          <w:i w:val="false"/>
          <w:caps w:val="false"/>
          <w:smallCaps w:val="false"/>
          <w:color w:val="C9211E"/>
          <w:spacing w:val="0"/>
          <w:sz w:val="28"/>
          <w:szCs w:val="28"/>
          <w:lang w:val="zxx" w:eastAsia="zxx" w:bidi="zxx"/>
        </w:rPr>
        <w:t>ANEXĂ (Anexa la Ordinul nr. 743/2.802/2020)</w:t>
      </w:r>
    </w:p>
    <w:p>
      <w:pPr>
        <w:pStyle w:val="TextBody"/>
        <w:rPr>
          <w:b/>
          <w:b/>
        </w:rPr>
      </w:pPr>
      <w:r>
        <w:rPr>
          <w:rFonts w:ascii="Times New Roman" w:hAnsi="Times New Roman"/>
          <w:b w:val="false"/>
          <w:i w:val="false"/>
          <w:caps w:val="false"/>
          <w:smallCaps w:val="false"/>
          <w:color w:val="auto"/>
          <w:spacing w:val="0"/>
          <w:sz w:val="28"/>
          <w:szCs w:val="28"/>
          <w:lang w:val="zxx" w:eastAsia="zxx" w:bidi="zxx"/>
        </w:rPr>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Către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AGENȚIA PENTRU PLĂȚI ȘI INSPECȚIE SOCIALĂ A JUDEȚULUI . . . . . . . . . ./MUNICIPIULUI BUCUREȘTI</w:t>
      </w:r>
    </w:p>
    <w:p>
      <w:pPr>
        <w:pStyle w:val="Heading4"/>
        <w:widowControl/>
        <w:spacing w:before="0" w:after="0"/>
        <w:ind w:left="0" w:right="0" w:hanging="0"/>
        <w:jc w:val="center"/>
        <w:rPr/>
      </w:pPr>
      <w:r>
        <w:rPr>
          <w:rFonts w:ascii="Times New Roman" w:hAnsi="Times New Roman"/>
          <w:b/>
          <w:bCs/>
          <w:i w:val="false"/>
          <w:caps w:val="false"/>
          <w:smallCaps w:val="false"/>
          <w:strike w:val="false"/>
          <w:dstrike w:val="false"/>
          <w:color w:val="auto"/>
          <w:spacing w:val="0"/>
          <w:sz w:val="28"/>
          <w:szCs w:val="28"/>
          <w:u w:val="none"/>
          <w:effect w:val="none"/>
          <w:lang w:val="zxx" w:eastAsia="zxx" w:bidi="zxx"/>
        </w:rPr>
        <w:t>CERERE</w:t>
      </w:r>
    </w:p>
    <w:p>
      <w:pPr>
        <w:pStyle w:val="Normal"/>
        <w:rPr>
          <w:b/>
          <w:b/>
        </w:rPr>
      </w:pPr>
      <w:r>
        <w:rPr>
          <w:rFonts w:ascii="Times New Roman" w:hAnsi="Times New Roman"/>
          <w:color w:val="auto"/>
          <w:sz w:val="28"/>
          <w:szCs w:val="28"/>
          <w:lang w:val="zxx" w:eastAsia="zxx" w:bidi="zxx"/>
        </w:rPr>
      </w:r>
    </w:p>
    <w:p>
      <w:pPr>
        <w:pStyle w:val="Normal"/>
        <w:rPr>
          <w:b/>
          <w:b/>
        </w:rPr>
      </w:pPr>
      <w:r>
        <w:rPr>
          <w:rFonts w:ascii="Times New Roman" w:hAnsi="Times New Roman"/>
          <w:color w:val="auto"/>
          <w:sz w:val="28"/>
          <w:szCs w:val="28"/>
          <w:lang w:val="zxx" w:eastAsia="zxx" w:bidi="zxx"/>
        </w:rPr>
      </w:r>
    </w:p>
    <w:p>
      <w:pPr>
        <w:pStyle w:val="Normal"/>
        <w:rPr>
          <w:b/>
          <w:b/>
        </w:rPr>
      </w:pPr>
      <w:r>
        <w:rPr>
          <w:rFonts w:ascii="Times New Roman" w:hAnsi="Times New Roman"/>
          <w:color w:val="auto"/>
          <w:sz w:val="28"/>
          <w:szCs w:val="28"/>
          <w:lang w:val="zxx" w:eastAsia="zxx" w:bidi="zxx"/>
        </w:rPr>
      </w:r>
    </w:p>
    <w:p>
      <w:pPr>
        <w:pStyle w:val="TextBody"/>
        <w:widowControl/>
        <w:pBdr/>
        <w:spacing w:before="0" w:after="120"/>
        <w:ind w:left="0" w:right="0" w:hanging="0"/>
        <w:jc w:val="both"/>
        <w:rPr>
          <w:rFonts w:ascii="Times New Roman" w:hAnsi="Times New Roman"/>
          <w:b w:val="false"/>
          <w:b w:val="false"/>
          <w:bCs w:val="false"/>
          <w:i w:val="false"/>
          <w:caps w:val="false"/>
          <w:smallCaps w:val="false"/>
          <w:color w:val="auto"/>
          <w:spacing w:val="0"/>
          <w:sz w:val="28"/>
          <w:szCs w:val="28"/>
          <w:lang w:val="zxx" w:eastAsia="zxx" w:bidi="zxx"/>
        </w:rPr>
      </w:pPr>
      <w:r>
        <w:rPr>
          <w:rFonts w:ascii="Times New Roman" w:hAnsi="Times New Roman"/>
          <w:b w:val="false"/>
          <w:bCs w:val="false"/>
          <w:i w:val="false"/>
          <w:caps w:val="false"/>
          <w:smallCaps w:val="false"/>
          <w:color w:val="auto"/>
          <w:spacing w:val="0"/>
          <w:sz w:val="28"/>
          <w:szCs w:val="28"/>
          <w:lang w:val="zxx" w:eastAsia="zxx" w:bidi="zxx"/>
        </w:rPr>
        <w:t>Subsemnatul(a), . . . . . . . . . ., cu domiciliul în localitatea . . . . . . . . . ., str. . . . . . . . . . . nr. . . . . . . . . . ., județul . . . . . . . . . ./municipiul . . . . . . . . . ., sectorul . . . . . . . . . ., identificat(ă) cu CI/BI seria . . . . . . . . . . nr. . . . . . . . . . ., CNP . . . . . . . . . ., telefon . . . . . . . . . ., e-mail . . . . . . . . . ., vă solicit acordarea indemnizației aferente perioadei . . . . . . . . . ., ca urmare a întreruperii activității, determinată de efectele epidemiei de coronavirus SARS-CoV-2, pe perioada stării de urgență/stării de alertă, în contul . . . . . . . . . ., al cărui titular sunt, deschis la . . . . . . . . . . .</w:t>
        <w:br/>
      </w:r>
    </w:p>
    <w:p>
      <w:pPr>
        <w:pStyle w:val="TextBody"/>
        <w:widowControl/>
        <w:pBdr/>
        <w:spacing w:before="0" w:after="120"/>
        <w:ind w:left="0" w:right="0" w:hanging="0"/>
        <w:jc w:val="both"/>
        <w:rPr>
          <w:rFonts w:ascii="Times New Roman" w:hAnsi="Times New Roman"/>
          <w:b w:val="false"/>
          <w:b w:val="false"/>
          <w:bCs w:val="false"/>
          <w:i w:val="false"/>
          <w:caps w:val="false"/>
          <w:smallCaps w:val="false"/>
          <w:color w:val="auto"/>
          <w:spacing w:val="0"/>
          <w:sz w:val="28"/>
          <w:szCs w:val="28"/>
          <w:lang w:val="zxx" w:eastAsia="zxx" w:bidi="zxx"/>
        </w:rPr>
      </w:pPr>
      <w:r>
        <w:rPr>
          <w:rFonts w:ascii="Times New Roman" w:hAnsi="Times New Roman"/>
          <w:b w:val="false"/>
          <w:bCs w:val="false"/>
          <w:i w:val="false"/>
          <w:caps w:val="false"/>
          <w:smallCaps w:val="false"/>
          <w:color w:val="auto"/>
          <w:spacing w:val="0"/>
          <w:sz w:val="28"/>
          <w:szCs w:val="28"/>
          <w:lang w:val="zxx" w:eastAsia="zxx" w:bidi="zxx"/>
        </w:rPr>
        <w:t>Anexez următoarele documente:</w:t>
      </w:r>
    </w:p>
    <w:p>
      <w:pPr>
        <w:pStyle w:val="TextBody"/>
        <w:widowControl/>
        <w:pBdr/>
        <w:spacing w:before="0" w:after="120"/>
        <w:ind w:left="0" w:right="0" w:hanging="0"/>
        <w:jc w:val="both"/>
        <w:rPr>
          <w:rFonts w:ascii="Times New Roman" w:hAnsi="Times New Roman"/>
          <w:caps w:val="false"/>
          <w:smallCaps w:val="false"/>
          <w:color w:val="auto"/>
          <w:spacing w:val="0"/>
          <w:sz w:val="28"/>
          <w:szCs w:val="28"/>
          <w:lang w:val="zxx" w:eastAsia="zxx" w:bidi="zxx"/>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copie a actului de identitate;</w:t>
      </w:r>
    </w:p>
    <w:p>
      <w:pPr>
        <w:pStyle w:val="TextBody"/>
        <w:widowControl/>
        <w:pBdr/>
        <w:spacing w:before="0" w:after="120"/>
        <w:ind w:left="0" w:right="0" w:hanging="0"/>
        <w:jc w:val="both"/>
        <w:rPr>
          <w:rFonts w:ascii="Times New Roman" w:hAnsi="Times New Roman"/>
          <w:caps w:val="false"/>
          <w:smallCaps w:val="false"/>
          <w:color w:val="auto"/>
          <w:spacing w:val="0"/>
          <w:sz w:val="28"/>
          <w:szCs w:val="28"/>
          <w:lang w:val="zxx" w:eastAsia="zxx" w:bidi="zxx"/>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copie după un contract de drepturi de autor și drepturi conexe din ultimele 9 luni, anterior solicitării dreptului sau, după caz, anterior instituirii stării de urgență;</w:t>
      </w:r>
    </w:p>
    <w:p>
      <w:pPr>
        <w:pStyle w:val="TextBody"/>
        <w:widowControl/>
        <w:pBdr/>
        <w:spacing w:before="0" w:after="120"/>
        <w:ind w:left="0" w:right="0" w:hanging="0"/>
        <w:jc w:val="both"/>
        <w:rPr>
          <w:rFonts w:ascii="Times New Roman" w:hAnsi="Times New Roman"/>
          <w:caps w:val="false"/>
          <w:smallCaps w:val="false"/>
          <w:color w:val="auto"/>
          <w:spacing w:val="0"/>
          <w:sz w:val="28"/>
          <w:szCs w:val="28"/>
          <w:lang w:val="zxx" w:eastAsia="zxx" w:bidi="zxx"/>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copie după extrasul de cont;</w:t>
      </w:r>
    </w:p>
    <w:p>
      <w:pPr>
        <w:pStyle w:val="TextBody"/>
        <w:widowControl/>
        <w:pBdr/>
        <w:spacing w:before="0" w:after="120"/>
        <w:ind w:left="0" w:right="0" w:hanging="0"/>
        <w:jc w:val="both"/>
        <w:rPr>
          <w:rFonts w:ascii="Times New Roman" w:hAnsi="Times New Roman"/>
          <w:caps w:val="false"/>
          <w:smallCaps w:val="false"/>
          <w:color w:val="auto"/>
          <w:spacing w:val="0"/>
          <w:sz w:val="28"/>
          <w:szCs w:val="28"/>
          <w:lang w:val="zxx" w:eastAsia="zxx" w:bidi="zxx"/>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declarația pe propria răspundere privind întreruperea temporară a activității total sau parțial ca urmare a măsurilor luate pentru prevenirea și limitarea efectelor epidemiei de coronavirus SARS-CoV-2 (anexa A la prezenta cerere);</w:t>
      </w:r>
    </w:p>
    <w:p>
      <w:pPr>
        <w:pStyle w:val="TextBody"/>
        <w:widowControl/>
        <w:pBdr/>
        <w:spacing w:before="0" w:after="120"/>
        <w:ind w:left="0" w:right="0" w:hanging="0"/>
        <w:jc w:val="both"/>
        <w:rPr>
          <w:rFonts w:ascii="Times New Roman" w:hAnsi="Times New Roman"/>
          <w:caps w:val="false"/>
          <w:smallCaps w:val="false"/>
          <w:color w:val="auto"/>
          <w:spacing w:val="0"/>
          <w:sz w:val="28"/>
          <w:szCs w:val="28"/>
          <w:lang w:val="zxx" w:eastAsia="zxx" w:bidi="zxx"/>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tabel cu activitățile restricționate potrivit hotărârilor Guvernului referitoare la declararea stării de alertă și a prelungirii acesteia și măsurile care se aplică pe durata acesteia pentru prevenirea și combaterea efectelor pandemiei de COVID-19 (anexa B la prezenta cerere).</w:t>
      </w:r>
    </w:p>
    <w:tbl>
      <w:tblPr>
        <w:tblW w:w="4972" w:type="dxa"/>
        <w:jc w:val="center"/>
        <w:tblInd w:w="0" w:type="dxa"/>
        <w:tblCellMar>
          <w:top w:w="0" w:type="dxa"/>
          <w:left w:w="0" w:type="dxa"/>
          <w:bottom w:w="0" w:type="dxa"/>
          <w:right w:w="0" w:type="dxa"/>
        </w:tblCellMar>
      </w:tblPr>
      <w:tblGrid>
        <w:gridCol w:w="152"/>
        <w:gridCol w:w="4820"/>
      </w:tblGrid>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Data . . . . . . . . . .</w:t>
              <w:br/>
              <w:t>Numele și prenumele (în clar) . . . . . . . . . .</w:t>
              <w:br/>
              <w:t>Semnătura . . . . . . . . . .</w:t>
            </w:r>
          </w:p>
        </w:tc>
      </w:tr>
    </w:tbl>
    <w:p>
      <w:pPr>
        <w:pStyle w:val="Heading4"/>
        <w:widowControl/>
        <w:spacing w:before="120" w:after="240"/>
        <w:ind w:left="0" w:right="0" w:hanging="0"/>
        <w:jc w:val="righ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br/>
        <w:br/>
      </w:r>
      <w:r>
        <w:rPr>
          <w:rFonts w:ascii="Times New Roman" w:hAnsi="Times New Roman"/>
          <w:b/>
          <w:bCs/>
          <w:i w:val="false"/>
          <w:caps w:val="false"/>
          <w:smallCaps w:val="false"/>
          <w:color w:val="C9211E"/>
          <w:spacing w:val="0"/>
          <w:sz w:val="28"/>
          <w:szCs w:val="28"/>
          <w:lang w:val="zxx" w:eastAsia="zxx" w:bidi="zxx"/>
        </w:rPr>
        <w:t>ANEXA A la cerere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Către</w:t>
      </w:r>
    </w:p>
    <w:p>
      <w:pPr>
        <w:pStyle w:val="Normal"/>
        <w:rPr>
          <w:b/>
          <w:b/>
        </w:rPr>
      </w:pPr>
      <w:r>
        <w:rPr>
          <w:rFonts w:ascii="Times New Roman" w:hAnsi="Times New Roman"/>
          <w:color w:val="auto"/>
          <w:sz w:val="28"/>
          <w:szCs w:val="28"/>
          <w:lang w:val="zxx" w:eastAsia="zxx" w:bidi="zxx"/>
        </w:rPr>
      </w:r>
    </w:p>
    <w:p>
      <w:pPr>
        <w:pStyle w:val="TextBody"/>
        <w:widowControl/>
        <w:pBdr/>
        <w:spacing w:before="0" w:after="120"/>
        <w:ind w:left="0" w:right="0" w:hanging="0"/>
        <w:jc w:val="both"/>
        <w:rPr>
          <w:rFonts w:ascii="Times New Roman" w:hAnsi="Times New Roman"/>
          <w:b w:val="false"/>
          <w:b w:val="false"/>
          <w:bCs w:val="false"/>
          <w:i w:val="false"/>
          <w:caps w:val="false"/>
          <w:smallCaps w:val="false"/>
          <w:color w:val="auto"/>
          <w:spacing w:val="0"/>
          <w:sz w:val="28"/>
          <w:szCs w:val="28"/>
          <w:lang w:val="zxx" w:eastAsia="zxx" w:bidi="zxx"/>
        </w:rPr>
      </w:pPr>
      <w:r>
        <w:rPr>
          <w:rFonts w:ascii="Times New Roman" w:hAnsi="Times New Roman"/>
          <w:b w:val="false"/>
          <w:bCs w:val="false"/>
          <w:i w:val="false"/>
          <w:caps w:val="false"/>
          <w:smallCaps w:val="false"/>
          <w:color w:val="auto"/>
          <w:spacing w:val="0"/>
          <w:sz w:val="28"/>
          <w:szCs w:val="28"/>
          <w:lang w:val="zxx" w:eastAsia="zxx" w:bidi="zxx"/>
        </w:rPr>
        <w:t>AGENȚIA PENTRU PLĂȚI ȘI INSPECȚIE SOCIALĂ A JUDEȚULUI . . . . . . . . . ./MUNICIPIULUI BUCUREȘTI</w:t>
        <w:br/>
        <w:br/>
      </w:r>
    </w:p>
    <w:p>
      <w:pPr>
        <w:pStyle w:val="Heading4"/>
        <w:widowControl/>
        <w:spacing w:before="0" w:after="0"/>
        <w:ind w:left="0" w:right="0" w:hanging="0"/>
        <w:jc w:val="center"/>
        <w:rPr/>
      </w:pPr>
      <w:r>
        <w:rPr>
          <w:rFonts w:ascii="Times New Roman" w:hAnsi="Times New Roman"/>
          <w:b/>
          <w:bCs/>
          <w:i w:val="false"/>
          <w:caps w:val="false"/>
          <w:smallCaps w:val="false"/>
          <w:strike w:val="false"/>
          <w:dstrike w:val="false"/>
          <w:color w:val="auto"/>
          <w:spacing w:val="0"/>
          <w:sz w:val="28"/>
          <w:szCs w:val="28"/>
          <w:u w:val="none"/>
          <w:effect w:val="none"/>
          <w:lang w:val="zxx" w:eastAsia="zxx" w:bidi="zxx"/>
        </w:rPr>
        <w:t>DECLARAȚIE PE PROPRIA RĂSPUNDERE</w:t>
      </w:r>
    </w:p>
    <w:p>
      <w:pPr>
        <w:pStyle w:val="TextBody"/>
        <w:widowControl/>
        <w:spacing w:before="0" w:after="0"/>
        <w:ind w:left="0" w:right="0" w:hanging="0"/>
        <w:jc w:val="cente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pPr>
      <w:r>
        <w:rPr/>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Subsemnatul(a), . . . . . . . . . ., cu domiciliul/sediul în localitatea . . . . . . . . . ., str. . . . . . . . . . . nr. . . . . . . . . . ., județul . . . . . . . . . ./municipiul . . . . . . . . . ., sectorul . . . . . . . . . ., identificat(ă) cu CI/BI seria . . . . . . . . . . nr. . . . . . . . . . ., CNP . . . . . . . . . ., telefon . . . . . . . . . ., e-mail . . . . . . . . . .,</w:t>
      </w:r>
    </w:p>
    <w:p>
      <w:pPr>
        <w:pStyle w:val="TextBody"/>
        <w:widowControl/>
        <w:pBdr/>
        <w:spacing w:before="0" w:after="120"/>
        <w:ind w:left="0" w:right="0" w:hanging="0"/>
        <w:jc w:val="left"/>
        <w:rPr/>
      </w:pPr>
      <w:r>
        <w:rPr>
          <w:rFonts w:ascii="Times New Roman" w:hAnsi="Times New Roman"/>
          <w:b w:val="false"/>
          <w:i w:val="false"/>
          <w:caps w:val="false"/>
          <w:smallCaps w:val="false"/>
          <w:color w:val="auto"/>
          <w:spacing w:val="0"/>
          <w:sz w:val="28"/>
          <w:szCs w:val="28"/>
          <w:lang w:val="zxx" w:eastAsia="zxx" w:bidi="zxx"/>
        </w:rPr>
        <w:t>cunoscând prevederile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326</w:t>
      </w:r>
      <w:r>
        <w:rPr>
          <w:rFonts w:ascii="Times New Roman" w:hAnsi="Times New Roman"/>
          <w:b w:val="false"/>
          <w:i w:val="false"/>
          <w:caps w:val="false"/>
          <w:smallCaps w:val="false"/>
          <w:color w:val="auto"/>
          <w:spacing w:val="0"/>
          <w:sz w:val="28"/>
          <w:szCs w:val="28"/>
          <w:lang w:val="zxx" w:eastAsia="zxx" w:bidi="zxx"/>
        </w:rPr>
        <w:t> din Codul penal cu privire la falsul în declarații, declar pe propria răspundere că activitatea a fost întreruptă ca urmare</w:t>
      </w:r>
      <w:r>
        <w:rPr>
          <w:rFonts w:ascii="Times New Roman" w:hAnsi="Times New Roman"/>
          <w:b w:val="false"/>
          <w:i w:val="false"/>
          <w:caps w:val="false"/>
          <w:smallCaps w:val="false"/>
          <w:color w:val="auto"/>
          <w:spacing w:val="0"/>
          <w:sz w:val="28"/>
          <w:szCs w:val="28"/>
          <w:vertAlign w:val="superscript"/>
          <w:lang w:val="zxx" w:eastAsia="zxx" w:bidi="zxx"/>
        </w:rPr>
        <w:t>1</w:t>
      </w:r>
      <w:r>
        <w:rPr>
          <w:rFonts w:ascii="Times New Roman" w:hAnsi="Times New Roman"/>
          <w:b w:val="false"/>
          <w:i w:val="false"/>
          <w:caps w:val="false"/>
          <w:smallCaps w:val="false"/>
          <w:color w:val="auto"/>
          <w:spacing w:val="0"/>
          <w:sz w:val="28"/>
          <w:szCs w:val="28"/>
          <w:lang w:val="zxx" w:eastAsia="zxx" w:bidi="zxx"/>
        </w:rPr>
        <w:t> a:</w:t>
        <w:br/>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vertAlign w:val="superscript"/>
          <w:lang w:val="zxx" w:eastAsia="zxx" w:bidi="zxx"/>
        </w:rPr>
        <w:t>1</w:t>
      </w:r>
      <w:r>
        <w:rPr>
          <w:rFonts w:ascii="Times New Roman" w:hAnsi="Times New Roman"/>
          <w:b/>
          <w:i w:val="false"/>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Se va bifa căsuța corespunzătoare situației în care se află.</w:t>
      </w:r>
    </w:p>
    <w:p>
      <w:pPr>
        <w:pStyle w:val="TextBody"/>
        <w:widowControl/>
        <w:pBdr/>
        <w:spacing w:before="0" w:after="120"/>
        <w:ind w:left="0" w:right="0" w:hanging="0"/>
        <w:jc w:val="both"/>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restricțiilor impuse prin anexa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nr. 3</w:t>
      </w:r>
      <w:r>
        <w:rPr>
          <w:rFonts w:ascii="Times New Roman" w:hAnsi="Times New Roman"/>
          <w:b w:val="false"/>
          <w:i w:val="false"/>
          <w:caps w:val="false"/>
          <w:smallCaps w:val="false"/>
          <w:color w:val="auto"/>
          <w:spacing w:val="0"/>
          <w:sz w:val="28"/>
          <w:szCs w:val="28"/>
          <w:lang w:val="zxx" w:eastAsia="zxx" w:bidi="zxx"/>
        </w:rPr>
        <w:t> - Măsuri pentru diminuarea impactului tipului de risc la Hotărârea Guvernului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nr. 856/2020</w:t>
      </w:r>
      <w:r>
        <w:rPr>
          <w:rFonts w:ascii="Times New Roman" w:hAnsi="Times New Roman"/>
          <w:b w:val="false"/>
          <w:i w:val="false"/>
          <w:caps w:val="false"/>
          <w:smallCaps w:val="false"/>
          <w:color w:val="auto"/>
          <w:spacing w:val="0"/>
          <w:sz w:val="28"/>
          <w:szCs w:val="28"/>
          <w:lang w:val="zxx" w:eastAsia="zxx" w:bidi="zxx"/>
        </w:rPr>
        <w:t> privind prelungirea stării de alertă pe teritoriul României începând cu data de 15 octombrie 2020, precum și stabilirea măsurilor care se aplică pe durata acesteia pentru prevenirea și combaterea efectelor pandemiei de COVID-19, cu modificările și completările ulterioare, și la Hotărârea Guvernului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nr. 967/2020</w:t>
      </w:r>
      <w:r>
        <w:rPr>
          <w:rFonts w:ascii="Times New Roman" w:hAnsi="Times New Roman"/>
          <w:b w:val="false"/>
          <w:i w:val="false"/>
          <w:caps w:val="false"/>
          <w:smallCaps w:val="false"/>
          <w:color w:val="auto"/>
          <w:spacing w:val="0"/>
          <w:sz w:val="28"/>
          <w:szCs w:val="28"/>
          <w:lang w:val="zxx" w:eastAsia="zxx" w:bidi="zxx"/>
        </w:rPr>
        <w:t> privind prelungirea stării de alertă pe teritoriul României începând cu data de 14 noiembrie 2020, precum și stabilirea măsurilor care se aplică pe durata acesteia pentru prevenirea și combaterea efectelor pandemiei de COVID-19;</w:t>
      </w:r>
    </w:p>
    <w:p>
      <w:pPr>
        <w:pStyle w:val="TextBody"/>
        <w:widowControl/>
        <w:pBdr/>
        <w:spacing w:before="0" w:after="120"/>
        <w:ind w:left="0" w:right="0" w:hanging="0"/>
        <w:jc w:val="both"/>
        <w:rPr>
          <w:rFonts w:ascii="Times New Roman" w:hAnsi="Times New Roman"/>
          <w:caps w:val="false"/>
          <w:smallCaps w:val="false"/>
          <w:color w:val="auto"/>
          <w:spacing w:val="0"/>
          <w:sz w:val="28"/>
          <w:szCs w:val="28"/>
          <w:lang w:val="zxx" w:eastAsia="zxx" w:bidi="zxx"/>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a hotărârii comitetului județean/al municipiului București pentru situații de urgență, pe care o atașez, în copie, la prezenta declarație.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Declar că activitatea desfășurată se menține întreruptă și se înscrie în domeniul/domeniile cu restricții de activitate, conform anexei B la cerere.</w:t>
      </w:r>
    </w:p>
    <w:tbl>
      <w:tblPr>
        <w:tblW w:w="4972" w:type="dxa"/>
        <w:jc w:val="center"/>
        <w:tblInd w:w="0" w:type="dxa"/>
        <w:tblCellMar>
          <w:top w:w="0" w:type="dxa"/>
          <w:left w:w="0" w:type="dxa"/>
          <w:bottom w:w="0" w:type="dxa"/>
          <w:right w:w="0" w:type="dxa"/>
        </w:tblCellMar>
      </w:tblPr>
      <w:tblGrid>
        <w:gridCol w:w="152"/>
        <w:gridCol w:w="4820"/>
      </w:tblGrid>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Data . . . . . . . . . .</w:t>
              <w:br/>
              <w:t>Numele și prenumele (în clar) . . . . . . . . . .</w:t>
              <w:br/>
              <w:t>Semnătura . . . . . . . . . .</w:t>
            </w:r>
          </w:p>
        </w:tc>
      </w:tr>
    </w:tbl>
    <w:p>
      <w:pPr>
        <w:pStyle w:val="Normal"/>
        <w:rPr>
          <w:b/>
          <w:b/>
        </w:rPr>
      </w:pPr>
      <w:r>
        <w:rPr>
          <w:rFonts w:ascii="Times New Roman" w:hAnsi="Times New Roman"/>
          <w:color w:val="auto"/>
          <w:sz w:val="28"/>
          <w:szCs w:val="28"/>
          <w:lang w:val="zxx" w:eastAsia="zxx" w:bidi="zxx"/>
        </w:rPr>
      </w:r>
    </w:p>
    <w:p>
      <w:pPr>
        <w:pStyle w:val="Normal"/>
        <w:rPr>
          <w:b/>
          <w:b/>
        </w:rPr>
      </w:pPr>
      <w:r>
        <w:rPr>
          <w:rFonts w:ascii="Times New Roman" w:hAnsi="Times New Roman"/>
          <w:color w:val="auto"/>
          <w:sz w:val="28"/>
          <w:szCs w:val="28"/>
          <w:lang w:val="zxx" w:eastAsia="zxx" w:bidi="zxx"/>
        </w:rPr>
      </w:r>
    </w:p>
    <w:p>
      <w:pPr>
        <w:pStyle w:val="Normal"/>
        <w:rPr>
          <w:b/>
          <w:b/>
        </w:rPr>
      </w:pPr>
      <w:r>
        <w:rPr>
          <w:rFonts w:ascii="Times New Roman" w:hAnsi="Times New Roman"/>
          <w:color w:val="auto"/>
          <w:sz w:val="28"/>
          <w:szCs w:val="28"/>
          <w:lang w:val="zxx" w:eastAsia="zxx" w:bidi="zxx"/>
        </w:rPr>
      </w:r>
    </w:p>
    <w:p>
      <w:pPr>
        <w:pStyle w:val="Heading4"/>
        <w:jc w:val="right"/>
        <w:rPr>
          <w:rFonts w:ascii="Times New Roman" w:hAnsi="Times New Roman"/>
          <w:b w:val="false"/>
          <w:i w:val="false"/>
          <w:caps w:val="false"/>
          <w:smallCaps w:val="false"/>
          <w:color w:val="C9211E"/>
          <w:spacing w:val="0"/>
          <w:sz w:val="28"/>
          <w:szCs w:val="28"/>
          <w:lang w:val="zxx" w:eastAsia="zxx" w:bidi="zxx"/>
        </w:rPr>
      </w:pPr>
      <w:r>
        <w:rPr>
          <w:rFonts w:ascii="Times New Roman" w:hAnsi="Times New Roman"/>
          <w:b/>
          <w:i w:val="false"/>
          <w:caps w:val="false"/>
          <w:smallCaps w:val="false"/>
          <w:color w:val="C9211E"/>
          <w:spacing w:val="0"/>
          <w:sz w:val="28"/>
          <w:szCs w:val="28"/>
          <w:lang w:val="zxx" w:eastAsia="zxx" w:bidi="zxx"/>
        </w:rPr>
        <w:t>ANEXA B la cerere</w:t>
      </w:r>
    </w:p>
    <w:p>
      <w:pPr>
        <w:pStyle w:val="TextBody"/>
        <w:rPr>
          <w:b/>
          <w:b/>
        </w:rPr>
      </w:pPr>
      <w:r>
        <w:rPr>
          <w:rFonts w:ascii="Times New Roman" w:hAnsi="Times New Roman"/>
          <w:b w:val="false"/>
          <w:i w:val="false"/>
          <w:caps w:val="false"/>
          <w:smallCaps w:val="false"/>
          <w:color w:val="auto"/>
          <w:spacing w:val="0"/>
          <w:sz w:val="28"/>
          <w:szCs w:val="28"/>
          <w:lang w:val="zxx" w:eastAsia="zxx" w:bidi="zxx"/>
        </w:rPr>
      </w:r>
    </w:p>
    <w:p>
      <w:pPr>
        <w:pStyle w:val="Heading4"/>
        <w:jc w:val="center"/>
        <w:rPr>
          <w:rFonts w:ascii="calibri;arial;sans-serif" w:hAnsi="calibri;arial;sans-serif"/>
          <w:b w:val="false"/>
          <w:i w:val="false"/>
          <w:caps w:val="false"/>
          <w:smallCaps w:val="false"/>
          <w:color w:val="333333"/>
          <w:spacing w:val="0"/>
          <w:sz w:val="20"/>
        </w:rPr>
      </w:pPr>
      <w:r>
        <w:rPr>
          <w:rFonts w:ascii="Times New Roman" w:hAnsi="Times New Roman"/>
          <w:b/>
          <w:bCs/>
          <w:i w:val="false"/>
          <w:caps w:val="false"/>
          <w:smallCaps w:val="false"/>
          <w:strike w:val="false"/>
          <w:dstrike w:val="false"/>
          <w:color w:val="auto"/>
          <w:spacing w:val="0"/>
          <w:sz w:val="28"/>
          <w:szCs w:val="28"/>
          <w:u w:val="none"/>
          <w:effect w:val="none"/>
          <w:lang w:val="zxx" w:eastAsia="zxx" w:bidi="zxx"/>
        </w:rPr>
        <w:t>Tabel cu activitățile restricționate potrivit hotărârilor Guvernului referitoare la declararea stării de alertă și a prelungirii acesteia și măsurile care se aplică pentru prevenirea și combaterea efectelor pandemiei de COVID-19</w:t>
      </w:r>
    </w:p>
    <w:p>
      <w:pPr>
        <w:pStyle w:val="TextBody"/>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bl>
      <w:tblPr>
        <w:tblW w:w="7500" w:type="dxa"/>
        <w:jc w:val="center"/>
        <w:tblInd w:w="0" w:type="dxa"/>
        <w:tblCellMar>
          <w:top w:w="28" w:type="dxa"/>
          <w:left w:w="28" w:type="dxa"/>
          <w:bottom w:w="28" w:type="dxa"/>
          <w:right w:w="28" w:type="dxa"/>
        </w:tblCellMar>
      </w:tblPr>
      <w:tblGrid>
        <w:gridCol w:w="627"/>
        <w:gridCol w:w="563"/>
        <w:gridCol w:w="6169"/>
        <w:gridCol w:w="141"/>
      </w:tblGrid>
      <w:tr>
        <w:trPr/>
        <w:tc>
          <w:tcPr>
            <w:tcW w:w="1190" w:type="dxa"/>
            <w:gridSpan w:val="2"/>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Domenii în care activitatea/activitățile este/sunt interzisă/interzise</w:t>
            </w:r>
            <w:r>
              <w:rPr>
                <w:rFonts w:ascii="Times New Roman" w:hAnsi="Times New Roman"/>
                <w:color w:val="auto"/>
                <w:sz w:val="28"/>
                <w:szCs w:val="28"/>
                <w:vertAlign w:val="superscript"/>
                <w:lang w:val="zxx" w:eastAsia="zxx" w:bidi="zxx"/>
              </w:rPr>
              <w:t>1</w:t>
            </w:r>
            <w:r>
              <w:rPr>
                <w:rFonts w:ascii="Times New Roman" w:hAnsi="Times New Roman"/>
                <w:color w:val="auto"/>
                <w:sz w:val="28"/>
                <w:szCs w:val="28"/>
                <w:lang w:val="zxx" w:eastAsia="zxx" w:bidi="zxx"/>
              </w:rPr>
              <w:t>:</w:t>
            </w:r>
          </w:p>
        </w:tc>
        <w:tc>
          <w:tcPr>
            <w:tcW w:w="6169"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Cod/Coduri CAEN aferent(e) activității</w:t>
            </w:r>
            <w:r>
              <w:rPr>
                <w:rFonts w:ascii="Times New Roman" w:hAnsi="Times New Roman"/>
                <w:color w:val="auto"/>
                <w:sz w:val="28"/>
                <w:szCs w:val="28"/>
                <w:vertAlign w:val="superscript"/>
                <w:lang w:val="zxx" w:eastAsia="zxx" w:bidi="zxx"/>
              </w:rPr>
              <w:t>2</w:t>
            </w:r>
          </w:p>
        </w:tc>
        <w:tc>
          <w:tcPr>
            <w:tcW w:w="141" w:type="dxa"/>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6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6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169"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și desfășurarea de mitinguri, demonstrații, procesiuni, concerte sau alte tipuri de întruniri în spații deschise, precum și a întrunirilor de natura activităților culturale, științifice, artistice, sportive sau de divertisment în spații închise, cu excepția celor organizate și desfășurate potrivit Hotărârii Guvernului nr. 856/2020 privind prelungirea stării de alertă pe teritoriul României începând cu data de 15 octombrie 2020, precum și stabilirea măsurilor care se aplică pe durata acesteia pentru prevenirea și combaterea efectelor pandemiei de COVID-19, cu modificările și completările ulterioare, și Hotărârii Guvernului nr. 967/2020 privind prelungirea stării de alertă pe teritoriul României începând cu data de 14 noiembrie 2020, precum și stabilirea măsurilor care se aplică pe durata acesteia pentru prevenirea și combaterea efectelor pandemiei de COVID-19</w:t>
            </w:r>
          </w:p>
        </w:tc>
        <w:tc>
          <w:tcPr>
            <w:tcW w:w="14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6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6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169"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Desfășurarea de reuniuni cu prilejul unor sărbători, aniversări, petreceri în spații închise și/sau deschise, publice și/sau private</w:t>
            </w:r>
          </w:p>
        </w:tc>
        <w:tc>
          <w:tcPr>
            <w:tcW w:w="14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6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6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169"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de evenimente private (nunți, botezuri, mese festive etc.) în spații închise, cum ar fi, fără a se limita la acestea, saloane, cămine culturale, restaurante, baruri, cafenele, săli/corturi de evenimente</w:t>
            </w:r>
          </w:p>
        </w:tc>
        <w:tc>
          <w:tcPr>
            <w:tcW w:w="14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6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6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169"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de evenimente private (nunți, botezuri, mese festive etc.) în spații deschise, cum ar fi, fără a se limita la acestea, saloane, cămine culturale, restaurante, terase, baruri, cafenele, săli/corturi de evenimente</w:t>
            </w:r>
          </w:p>
        </w:tc>
        <w:tc>
          <w:tcPr>
            <w:tcW w:w="14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6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6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169"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Activitatea în baruri, cluburi și discoteci</w:t>
            </w:r>
          </w:p>
        </w:tc>
        <w:tc>
          <w:tcPr>
            <w:tcW w:w="14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6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6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169"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Exploatarea locurilor de joacă, a sălilor de jocuri, precum și a activității barurilor, cluburilor și discotecilor în interiorul centrelor comerciale în care își desfășoară activitatea mai mulți operatori economici</w:t>
            </w:r>
          </w:p>
        </w:tc>
        <w:tc>
          <w:tcPr>
            <w:tcW w:w="14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6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6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169"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Activitatea operatorilor economici desfășurată în spații închise în următoarele domenii: activități în piscine, locuri de joacă și săli de jocuri</w:t>
            </w:r>
          </w:p>
        </w:tc>
        <w:tc>
          <w:tcPr>
            <w:tcW w:w="14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bl>
    <w:tbl>
      <w:tblPr>
        <w:tblW w:w="7580" w:type="dxa"/>
        <w:jc w:val="center"/>
        <w:tblInd w:w="0" w:type="dxa"/>
        <w:tblCellMar>
          <w:top w:w="0" w:type="dxa"/>
          <w:left w:w="0" w:type="dxa"/>
          <w:bottom w:w="0" w:type="dxa"/>
          <w:right w:w="0" w:type="dxa"/>
        </w:tblCellMar>
      </w:tblPr>
      <w:tblGrid>
        <w:gridCol w:w="152"/>
        <w:gridCol w:w="188"/>
        <w:gridCol w:w="5984"/>
        <w:gridCol w:w="1256"/>
      </w:tblGrid>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256"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6172" w:type="dxa"/>
            <w:gridSpan w:val="2"/>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Domenii în care activitatea/activitățile este/sunt restricționată/restricționate: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Cod/Coduri CAEN aferent(e) activității</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Activitățile de pregătire fizică în cadrul structurilor și bazelor sportive, definite conform Legii educației fizice și sportului nr. 69/2000, cu modificările și completările ulterioare, constând în cantonamente, antrenamente și competiții sportive organizate pe teritoriul României, pot fi desfășurate numai în condițiile stabilite prin ordinul comun al ministrului tineretului și sportului și al ministrului sănătății, emis în temeiul art. 43 și al art. 71 alin. (2) din Legea nr. 55/2020 privind unele măsuri pentru prevenirea și combaterea efectelor pandemiei de COVID-19,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Competițiile sportive se pot desfășura pe teritoriul României fără spectatori, numai în condițiile stabilite prin ordinul comun al ministrului tineretului și sportului și al ministrului sănătății, emis în temeiul art. 43 și al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Desfășurarea de către sportivii profesioniști, legitimați și/sau de performanță a activităților de pregătire fizică în bazine acoperite sau aflate în aer liber, iar activitățile de pregătire fizică în spații închise sunt permise numai cu respectarea regulilor de distanțare între participanți, astfel încât să se asigure minimum 7 mp/persoană</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Activitățile instituțiilor muzeale, bibliotecilor, librăriilor, cinematografelor, studiourilor de producție de film și audiovizual, instituțiilor de spectacole și/sau concerte, școlilor populare, de artă și de meserii, precum și evenimentele culturale în aer liber se pot desfășura numai în condițiile stabilite prin ordin comun al ministrului culturii și al ministrului sănătății, emis în temeiul art. 44 și al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și desfășurarea activității în cadrul cinematografelor, instituțiilor de spectacole și/sau concerte este permisă, cu participarea publicului până la 50% din capacitatea maximă a spațiului, dacă incidența cumulată în ultimele 14 zile a cazurilor din județ/localitate este mai mică sau egală cu 1,5/1.000 de locuitori, cu participarea publicului până la 30% din capacitatea maximă a spațiului, dacă incidența cumulată în ultimele 14 zile a cazurilor din județ/localitate este mai mare de 1,5 și mai mică sau egală cu 3/1.000 de locuitori, și este interzisă la depășirea incidenței de 3/1.000 de locuitori.</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La nivelul județelor/localităților unde incidența cumulată în ultimele 14 zile a cazurilor este mai mică sau egală cu 1,5/1.000 de locuitori, organizarea și desfășurarea spectacolelor de tipul drive-in sunt permise numai dacă ocupanții unui autovehicul sunt membrii aceleiași familii sau reprezintă grupuri de până la 3 persoane, iar organizarea și desfășurarea în aer liber a spectacolelor, concertelor, festivalurilor publice și private sau a altor evenimente culturale sunt permise numai cu participarea a cel mult 300 de spectatori cu locuri pe scaune, aflate la distanță de minimum 2 metri unul față de celălalt, precum și cu purtarea măștii de protecție. Activitățile sunt interzise la nivelul județelor/localităților unde incidența cumulată în ultimele 14 zile a cazurilor este mai mare de 1,5/1.000 de locuitori.</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Activitatea cultelor religioase, inclusiv a slujbelor și rugăciunilor colective, se desfășoară în interiorul și/sau în afara lăcașurilor de cult, cu respectarea regulilor de protecție sanitară, stabilite prin ordinul comun al ministrului sănătății și al ministrului afacerilor interne, emis în temeiul art. 45 și al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de procesiuni și/sau pelerinaje religioase este permisă numai cu participarea persoanelor care au domiciliul sau reședința în localitatea unde se desfășoară respectiva activitate.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Activitățile recreative și sportive desfășurate în aer liber, cu excepția celor care se desfășoară cu participarea a cel mult 10 persoane care nu locuiesc împreună, stabilite prin ordin comun al ministrului sănătății, după caz, cu ministrul tineretului și sportului, ministrul mediului, apelor și pădurilor sau ministrul agriculturii și dezvoltării rurale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de cursuri de instruire și workshopuri pentru adulți, inclusiv cele organizate pentru implementarea proiectelor finanțate din fonduri europene, cu un număr de participanți de maximum 25 de persoane în interior și de maximum 50 de persoane în exterior și cu respectarea normelor de sănătate publică stabilite în ordinul ministrului sănătății</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și desfășurarea activităților specifice din domeniul diplomatic, inclusiv la sediile misiunilor diplomatice și oficiilor consulare acreditate în România, astfel încât să fie asigurate o suprafață de minimum 4 mp pentru fiecare persoană participantă și respectarea regulilor de protecție sanitară</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de mitinguri și demonstrații cu un număr de participanți de maximum 100 de persoane, în condițiile Legii nr. 60/1991 privind organizarea și desfășurarea adunărilor publice, republicată, și cu respectarea măsurilor prevăzute de Hotărârea Guvernului nr. 967/2020</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ceremoniilor oficiale dedicate Zilei Naționale a României în municipiul București, cu participarea a cel mult 400 de persoane, precum și în municipiile reședință de județ, cu participarea a cel mult 100 de persoane, fără participarea publicului și cu respectarea măsurilor prevăzute de Hotărârea Guvernului nr. 967/2020</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Desfășurarea activităților de prevenire și combatere a pestei porcine africane prin vânători colective la care pot participa cel mult 20 de persoane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Activitatea cu publicul a operatorilor economici care desfășoară activități de preparare, comercializare și consum al produselor alimentare și/sau băuturilor alcoolice și nealcoolice, de tipul restaurantelor și cafenelelor, în interiorul clădirilor,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este interzisă la depășirea incidenței de 3/1.000 de locuitori;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Activitatea restaurantelor și a cafenelelor din interiorul hotelurilor, pensiunilor sau altor unități de cazare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doar pentru persoanele cazate în cadrul acestor unități în județele/localitățile unde este depășită incidența de 3/1.000 de locuitori în ultimele 14 zile;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În situația în care activitatea operatorilor economici care desfășoară activități de preparare, comercializare și consum al produselor alimentare și/sau băuturilor alcoolice și nealcoolice, de tipul restaurantelor și cafenelelor, în interiorul clădirilor, în interiorul hotelurilor, pensiunilor sau altor unități de cazare, este restricționată sau închisă, se permit prepararea hranei și comercializarea produselor alimentare și băuturilor alcoolice și nealcoolice care nu se consumă în spațiile respective.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Prepararea, comercializarea și consumul produselor alimentare și băuturilor alcoolice și nealcoolice sunt permise în spațiile special destinate dispuse în exteriorul clădirilor, în aer liber, cu excepția celor prevăzute la pct. 3 al art. 6 din Hotărârea Guvernului nr. 967/2020, cu asigurarea unei distanțe de minimum 2 metri între mese și participarea a maximum 6 persoane la o masă, dacă sunt din familii diferite, și cu respectarea măsurilor de protecție sanitară stabilite prin ordin comun al ministrului sănătății, ministrului economiei, energiei și mediului de afaceri și al președintelui Autorității Naționale Sanitare Veterinare și pentru Siguranța Alimentelor, emis în temeiul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Transportul aerian se desfășoară cu respectarea măsurilor și restricțiilor referitoare la igiena și dezinfecția spațiilor comune, echipamentelor, mijloacelor de transport și aeronavelor, procedurile și protocoalele din interiorul aeroporturilor și aeronavelor, regulile de conduită pentru personalul operatorilor aeroportuari, aerieni și pentru pasageri, precum și privitor la informarea personalului și pasagerilor, în scopul prevenirii contaminării pasagerilor și personalului ce activează în domeniul transportului aerian, stabilite prin ordin comun al ministrului transporturilor, infrastructurii și comunicațiilor, al ministrului afacerilor interne și al ministrului sănătății, emis în temeiul art. 32, 33 și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Transportul feroviar se desfășoară cu respectarea măsurilor și restricțiilor referitoare la igiena și dezinfecția spațiilor comune din gări, halte, stații sau puncte de oprire, a echipamentelor și garniturilor de tren, procedurile și protocoalele din interiorul gărilor, haltelor, stațiilor sau punctelor de oprire, dar și în interiorul vagoanelor și garniturilor de tren, gradul și modul de ocupare a materialului rulant, regulile de conduită pentru personalul operatorilor și pentru pasageri, precum și privitor la informarea personalului și pasagerilor, în scopul prevenirii contaminării pasagerilor și personalului ce activează în domeniul transportului feroviar, stabilite prin ordin comun al ministrului transporturilor, infrastructurii și comunicațiilor, al ministrului afacerilor interne și al ministrului sănătății, emis în temeiul art. 32, 34 și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Transportul rutier se desfășoară cu respectarea măsurilor și restricțiilor referitoare la igiena și dezinfecția mijloacelor de transport persoane, procedurile și protocoalele din interiorul mijloacelor de transport, gradul și modul de ocupare a mijloacelor de transport, regulile de conduită pentru personalul operatorilor și pentru pasageri, precum și privitor la informarea personalului și pasagerilor, în scopul prevenirii contaminării pasagerilor și personalului ce activează în domeniul transportului rutier, stabilite prin ordin comun al ministrului transporturilor, infrastructurii și comunicațiilor, al ministrului afacerilor interne și al ministrului sănătății, emis în temeiul art. 32, 35 și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Transportul naval se desfășoară cu respectarea măsurilor și restricțiilor referitoare la igiena și dezinfecția navelor de transport persoane, procedurile și protocoalele din interiorul navelor de transport persoane, gradul și modul de ocupare a navelor de transport persoane, regulile de conduită pentru personalul operatorilor și pentru pasageri, precum și privitor la informarea personalului și pasagerilor, în scopul prevenirii contaminării pasagerilor și personalului ce activează în domeniul transportului naval, stabilite prin ordin comun al ministrului transporturilor, infrastructurii și comunicațiilor, al ministrului afacerilor interne și al ministrului sănătății, emis în temeiul art. 32, 36 și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Transportul intern și internațional de mărfuri și persoane se desfășoară cu respectarea prevederilor din ordinul comun al ministrului transporturilor, infrastructurii și comunicațiilor, al ministrului afacerilor interne și al ministrului sănătății, emis în temeiul art. 37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Operatorii economici care desfășoară activități de jocuri de noroc au obligația să respecte orarul de lucru cu publicul și restricțiile stabilite prin hotărâre a Comitetului Național pentru Situații de Urgență, la propunerea Grupului de suport tehnico-științific privind gestionarea bolilor înalt contagioase pe teritoriul României sau a comitetului județean/al municipiului București pentru situații de urgență. Măsurile se stabilesc pentru unitățile administrativ-teritoriale în care se constată o răspândire comunitară intensă a virusului și/sau un număr în creștere al persoanelor infectate cu virusul SARS-CoV-2.</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Activitatea în creșe și afterschool-uri este permisă numai cu respectarea condițiilor stabilite prin ordin comun al ministrului educației și cercetării, al ministrului muncii și protecției sociale și al ministrului sănătății, emis în temeiul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Activități de administrare a ștrandurilor exterioare, a piscinelor exterioare sau sălilor de sport/fitness, cu obligația de a respecta normele de prevenire stabilite prin ordinul comun al ministrului tineretului și sportului și al ministrului sănătății, emis în temeiul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Activități de jocuri de noroc, îngrijire personală, primire turistică cu funcțiuni de cazare, precum și activități de lucru în birouri cu spații comune în sistem deschis, cu obligația de a respecta normele de prevenire stabilite prin ordinul comun al ministrului economiei, energiei și mediului de afaceri și al ministrului sănătății, emis în temeiul art. 71 alin. (2) din Legea nr. 55/2020, cu modificările și completările ulterioare, în baza căruia își pot desfășura activitatea</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Activități de tratament balnear, cu obligația de a respecta normele de prevenire stabilite prin ordinul ministrului sănătății, emis în temeiul art. 71 alin. (2) din Legea nr. 55/2020, cu modificările și completările ulterioare</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Se suspendă activitatea piețelor agroalimentare în spații închise, târgurilor, bâlciurilor și a talciocurilor, definite potrivit art. 7 alin. (1) din Hotărârea Guvernului nr. 348/2004 privind exercitarea comerțului cu produse și servicii de piață în unele zone publice, cu modificările și completările ulterioare. Prin excepție, se permite activitatea piețelor agroalimentare, inclusiv a piețelor volante, ce pot fi organizate în zone publice deschise, cu respectarea normelor de protecție sanitară.</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8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9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Alte domeni</w:t>
            </w:r>
            <w:r>
              <w:rPr>
                <w:rFonts w:ascii="Times New Roman" w:hAnsi="Times New Roman"/>
                <w:color w:val="auto"/>
                <w:sz w:val="28"/>
                <w:szCs w:val="28"/>
                <w:lang w:val="zxx" w:eastAsia="zxx" w:bidi="zxx"/>
              </w:rPr>
              <w:t>i</w:t>
            </w:r>
            <w:r>
              <w:rPr>
                <w:rFonts w:ascii="Times New Roman" w:hAnsi="Times New Roman"/>
                <w:color w:val="auto"/>
                <w:sz w:val="28"/>
                <w:szCs w:val="28"/>
                <w:vertAlign w:val="superscript"/>
                <w:lang w:val="zxx" w:eastAsia="zxx" w:bidi="zxx"/>
              </w:rPr>
              <w:t>3</w:t>
            </w:r>
            <w:r>
              <w:rPr>
                <w:rFonts w:ascii="Times New Roman" w:hAnsi="Times New Roman"/>
                <w:color w:val="auto"/>
                <w:sz w:val="28"/>
                <w:szCs w:val="28"/>
                <w:lang w:val="zxx" w:eastAsia="zxx" w:bidi="zxx"/>
              </w:rPr>
              <w:br/>
              <w:t>. . . . . . . . . .</w:t>
              <w:br/>
              <w:t>. . . . . . . . . .</w:t>
            </w:r>
          </w:p>
        </w:tc>
        <w:tc>
          <w:tcPr>
            <w:tcW w:w="125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bl>
    <w:p>
      <w:pPr>
        <w:pStyle w:val="TextBody"/>
        <w:widowControl/>
        <w:pBdr/>
        <w:spacing w:before="0" w:after="120"/>
        <w:ind w:left="0" w:right="0" w:hanging="0"/>
        <w:jc w:val="lef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vertAlign w:val="superscript"/>
          <w:lang w:val="zxx" w:eastAsia="zxx" w:bidi="zxx"/>
        </w:rPr>
        <w:t>1</w:t>
      </w:r>
      <w:r>
        <w:rPr>
          <w:rFonts w:ascii="Times New Roman" w:hAnsi="Times New Roman"/>
          <w:b/>
          <w:i w:val="false"/>
          <w:caps w:val="false"/>
          <w:smallCaps w:val="false"/>
          <w:color w:val="auto"/>
          <w:spacing w:val="0"/>
          <w:sz w:val="28"/>
          <w:szCs w:val="28"/>
          <w:lang w:val="zxx" w:eastAsia="zxx" w:bidi="zxx"/>
        </w:rPr>
        <w:t> Se va bifa căsuța corespunzătoare domeniului.</w:t>
      </w:r>
    </w:p>
    <w:p>
      <w:pPr>
        <w:pStyle w:val="TextBody"/>
        <w:widowControl/>
        <w:pBdr/>
        <w:spacing w:before="0" w:after="120"/>
        <w:ind w:left="0" w:right="0" w:hanging="0"/>
        <w:jc w:val="lef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vertAlign w:val="superscript"/>
          <w:lang w:val="zxx" w:eastAsia="zxx" w:bidi="zxx"/>
        </w:rPr>
        <w:t>2</w:t>
      </w:r>
      <w:r>
        <w:rPr>
          <w:rFonts w:ascii="Times New Roman" w:hAnsi="Times New Roman"/>
          <w:b w:val="false"/>
          <w:i w:val="false"/>
          <w:caps w:val="false"/>
          <w:smallCaps w:val="false"/>
          <w:color w:val="auto"/>
          <w:spacing w:val="0"/>
          <w:sz w:val="28"/>
          <w:szCs w:val="28"/>
          <w:lang w:val="zxx" w:eastAsia="zxx" w:bidi="zxx"/>
        </w:rPr>
        <w:t> Se completează de către solicitant codul/codurile CAEN corespunzător/corespunzătoare.</w:t>
      </w:r>
    </w:p>
    <w:p>
      <w:pPr>
        <w:pStyle w:val="TextBody"/>
        <w:widowControl/>
        <w:pBdr/>
        <w:spacing w:before="0" w:after="120"/>
        <w:ind w:left="0" w:right="0" w:hanging="0"/>
        <w:jc w:val="lef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vertAlign w:val="superscript"/>
          <w:lang w:val="zxx" w:eastAsia="zxx" w:bidi="zxx"/>
        </w:rPr>
        <w:t>3</w:t>
      </w:r>
      <w:r>
        <w:rPr>
          <w:rFonts w:ascii="Times New Roman" w:hAnsi="Times New Roman"/>
          <w:b w:val="false"/>
          <w:i w:val="false"/>
          <w:caps w:val="false"/>
          <w:smallCaps w:val="false"/>
          <w:color w:val="auto"/>
          <w:spacing w:val="0"/>
          <w:sz w:val="28"/>
          <w:szCs w:val="28"/>
          <w:lang w:val="zxx" w:eastAsia="zxx" w:bidi="zxx"/>
        </w:rPr>
        <w:t> Se completează activitatea restricționată ca urmare a actelor normative emise de administrația publică centrală și/sau a hotărârilor comitetului județean/al municipiului București pentru situații de urgență și perioada pe care a fost instituită restricția.</w:t>
      </w:r>
    </w:p>
    <w:tbl>
      <w:tblPr>
        <w:tblW w:w="4972" w:type="dxa"/>
        <w:jc w:val="center"/>
        <w:tblInd w:w="0" w:type="dxa"/>
        <w:tblCellMar>
          <w:top w:w="0" w:type="dxa"/>
          <w:left w:w="0" w:type="dxa"/>
          <w:bottom w:w="0" w:type="dxa"/>
          <w:right w:w="0" w:type="dxa"/>
        </w:tblCellMar>
      </w:tblPr>
      <w:tblGrid>
        <w:gridCol w:w="152"/>
        <w:gridCol w:w="4820"/>
      </w:tblGrid>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Data . . . . . . . . . .</w:t>
              <w:br/>
              <w:t>Numele și prenumele (în clar) . . . . . . . . . .</w:t>
              <w:br/>
              <w:t>Semnătura . . . . . . . . . .</w:t>
            </w:r>
          </w:p>
        </w:tc>
      </w:tr>
    </w:tbl>
    <w:p>
      <w:pPr>
        <w:pStyle w:val="TextBody"/>
        <w:ind w:left="0" w:right="0" w:hanging="0"/>
        <w:rPr>
          <w:b/>
          <w:b/>
          <w:i w:val="false"/>
          <w:caps w:val="false"/>
          <w:smallCaps w:val="false"/>
          <w:spacing w:val="0"/>
        </w:rPr>
      </w:pPr>
      <w:r>
        <w:rPr>
          <w:rFonts w:ascii="Times New Roman" w:hAnsi="Times New Roman"/>
          <w:color w:val="auto"/>
          <w:sz w:val="28"/>
          <w:szCs w:val="28"/>
          <w:lang w:val="zxx" w:eastAsia="zxx" w:bidi="zxx"/>
        </w:rPr>
      </w:r>
    </w:p>
    <w:p>
      <w:pPr>
        <w:pStyle w:val="TextBody"/>
        <w:rPr>
          <w:b/>
          <w:b/>
        </w:rPr>
      </w:pPr>
      <w:r>
        <w:rPr>
          <w:rFonts w:ascii="Times New Roman" w:hAnsi="Times New Roman"/>
          <w:b w:val="false"/>
          <w:i w:val="false"/>
          <w:caps w:val="false"/>
          <w:smallCaps w:val="false"/>
          <w:color w:val="auto"/>
          <w:spacing w:val="0"/>
          <w:sz w:val="28"/>
          <w:szCs w:val="28"/>
          <w:lang w:val="zxx" w:eastAsia="zxx" w:bidi="zxx"/>
        </w:rPr>
      </w:r>
    </w:p>
    <w:p>
      <w:pPr>
        <w:pStyle w:val="TextBody"/>
        <w:rPr>
          <w:b/>
          <w:b/>
        </w:rPr>
      </w:pPr>
      <w:r>
        <w:rPr>
          <w:rFonts w:ascii="Times New Roman" w:hAnsi="Times New Roman"/>
          <w:b w:val="false"/>
          <w:i w:val="false"/>
          <w:caps w:val="false"/>
          <w:smallCaps w:val="false"/>
          <w:color w:val="auto"/>
          <w:spacing w:val="0"/>
          <w:sz w:val="28"/>
          <w:szCs w:val="28"/>
          <w:lang w:val="zxx" w:eastAsia="zxx" w:bidi="zxx"/>
        </w:rPr>
      </w:r>
    </w:p>
    <w:p>
      <w:pPr>
        <w:pStyle w:val="Normal"/>
        <w:rPr>
          <w:b/>
          <w:b/>
        </w:rPr>
      </w:pPr>
      <w:r>
        <w:rPr>
          <w:rFonts w:ascii="Times New Roman" w:hAnsi="Times New Roman"/>
          <w:color w:val="auto"/>
          <w:sz w:val="28"/>
          <w:szCs w:val="28"/>
          <w:lang w:val="zxx" w:eastAsia="zxx" w:bidi="zxx"/>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 w:name="calibri">
    <w:altName w:val="arial"/>
    <w:charset w:val="ee"/>
    <w:family w:val="auto"/>
    <w:pitch w:val="default"/>
  </w:font>
</w:fonts>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LibreOffice/6.2.4.2$Windows_X86_64 LibreOffice_project/2412653d852ce75f65fbfa83fb7e7b669a126d64</Application>
  <Pages>12</Pages>
  <Words>3335</Words>
  <Characters>18642</Characters>
  <CharactersWithSpaces>21913</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2020-12-11T13:02:24Z</dcterms:created>
  <dc:creator/>
  <dc:description/>
  <dc:language>en-US</dc:language>
  <cp:lastModifiedBy/>
  <dcterms:modified xsi:type="dcterms:W3CDTF">2020-12-11T13:17:29Z</dcterms:modified>
  <cp:revision>5</cp:revision>
  <dc:subject/>
  <dc:title/>
</cp:coreProperties>
</file>